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4BAB" w14:textId="0213BE02" w:rsidR="006C432F" w:rsidRPr="00911FBC" w:rsidRDefault="00FC6DFD" w:rsidP="004C0D95">
      <w:pPr>
        <w:jc w:val="center"/>
        <w:rPr>
          <w:b/>
          <w:bCs/>
          <w:sz w:val="20"/>
          <w:szCs w:val="20"/>
          <w:lang w:val="en-US"/>
        </w:rPr>
      </w:pPr>
      <w:r w:rsidRPr="00911FBC">
        <w:rPr>
          <w:b/>
          <w:bCs/>
          <w:sz w:val="20"/>
          <w:szCs w:val="20"/>
          <w:lang w:val="en-US"/>
        </w:rPr>
        <w:t>Notice of Adoption</w:t>
      </w:r>
      <w:r w:rsidR="00C151BE" w:rsidRPr="00911FBC">
        <w:rPr>
          <w:b/>
          <w:bCs/>
          <w:sz w:val="20"/>
          <w:szCs w:val="20"/>
          <w:lang w:val="en-US"/>
        </w:rPr>
        <w:t xml:space="preserve"> under Article 16 of </w:t>
      </w:r>
      <w:r w:rsidR="00911FBC">
        <w:rPr>
          <w:rFonts w:ascii="Calibri" w:hAnsi="Calibri" w:cs="Calibri"/>
          <w:b/>
          <w:bCs/>
          <w:sz w:val="20"/>
          <w:szCs w:val="20"/>
        </w:rPr>
        <w:t xml:space="preserve">the </w:t>
      </w:r>
      <w:r w:rsidR="00911FBC" w:rsidRPr="001A69DF">
        <w:rPr>
          <w:rFonts w:ascii="Calibri" w:hAnsi="Calibri" w:cs="Calibri"/>
          <w:b/>
          <w:bCs/>
          <w:sz w:val="20"/>
          <w:szCs w:val="20"/>
        </w:rPr>
        <w:t>European Communities (Environmental Assessment of Certain Plans and Programmes) Regulations 2004</w:t>
      </w:r>
      <w:r w:rsidR="00911FBC">
        <w:rPr>
          <w:rFonts w:ascii="Calibri" w:hAnsi="Calibri" w:cs="Calibri"/>
          <w:b/>
          <w:bCs/>
          <w:sz w:val="20"/>
          <w:szCs w:val="20"/>
        </w:rPr>
        <w:t xml:space="preserve"> (</w:t>
      </w:r>
      <w:r w:rsidR="00911FBC" w:rsidRPr="0083170D">
        <w:rPr>
          <w:rFonts w:ascii="Calibri" w:hAnsi="Calibri" w:cs="Calibri"/>
          <w:b/>
          <w:bCs/>
          <w:sz w:val="20"/>
          <w:szCs w:val="20"/>
        </w:rPr>
        <w:t>S.I. 435/2004</w:t>
      </w:r>
      <w:r w:rsidR="00911FBC">
        <w:rPr>
          <w:rFonts w:ascii="Calibri" w:hAnsi="Calibri" w:cs="Calibri"/>
          <w:b/>
          <w:bCs/>
          <w:sz w:val="20"/>
          <w:szCs w:val="20"/>
        </w:rPr>
        <w:t>)</w:t>
      </w:r>
      <w:r w:rsidR="00911FBC" w:rsidRPr="0083170D">
        <w:rPr>
          <w:rFonts w:ascii="Calibri" w:hAnsi="Calibri" w:cs="Calibri"/>
          <w:b/>
          <w:bCs/>
          <w:sz w:val="20"/>
          <w:szCs w:val="20"/>
        </w:rPr>
        <w:t xml:space="preserve">, as </w:t>
      </w:r>
      <w:proofErr w:type="gramStart"/>
      <w:r w:rsidR="00911FBC" w:rsidRPr="0083170D">
        <w:rPr>
          <w:rFonts w:ascii="Calibri" w:hAnsi="Calibri" w:cs="Calibri"/>
          <w:b/>
          <w:bCs/>
          <w:sz w:val="20"/>
          <w:szCs w:val="20"/>
        </w:rPr>
        <w:t>amended</w:t>
      </w:r>
      <w:proofErr w:type="gramEnd"/>
    </w:p>
    <w:p w14:paraId="36ED42CB" w14:textId="7EB66D29" w:rsidR="004C0D95" w:rsidRPr="00911FBC" w:rsidRDefault="00725E01" w:rsidP="004C0D95">
      <w:pPr>
        <w:jc w:val="center"/>
        <w:rPr>
          <w:rFonts w:ascii="Calibri" w:hAnsi="Calibri" w:cs="Calibri"/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</w:rPr>
        <w:t>Louth County Council</w:t>
      </w:r>
      <w:r w:rsidR="004C0D95" w:rsidRPr="00911FBC">
        <w:rPr>
          <w:b/>
          <w:bCs/>
          <w:sz w:val="20"/>
          <w:szCs w:val="20"/>
        </w:rPr>
        <w:t xml:space="preserve"> Climate Action Plan</w:t>
      </w:r>
      <w:r w:rsidR="004C0D95" w:rsidRPr="00911FBC">
        <w:rPr>
          <w:b/>
          <w:bCs/>
          <w:sz w:val="20"/>
          <w:szCs w:val="20"/>
          <w:lang w:val="en-US"/>
        </w:rPr>
        <w:t xml:space="preserve"> 2024 – 2029 </w:t>
      </w:r>
    </w:p>
    <w:p w14:paraId="03ED4BF2" w14:textId="11521E05" w:rsidR="004C0D95" w:rsidRPr="00911FBC" w:rsidRDefault="00A503A8" w:rsidP="004C0D95">
      <w:pPr>
        <w:jc w:val="both"/>
        <w:rPr>
          <w:rFonts w:ascii="Calibri" w:hAnsi="Calibri" w:cs="Calibri"/>
          <w:sz w:val="20"/>
          <w:szCs w:val="20"/>
        </w:rPr>
      </w:pPr>
      <w:bookmarkStart w:id="0" w:name="_Hlk153810474"/>
      <w:r>
        <w:rPr>
          <w:rFonts w:ascii="Calibri" w:hAnsi="Calibri" w:cs="Calibri"/>
          <w:sz w:val="20"/>
          <w:szCs w:val="20"/>
          <w:lang w:val="en-US"/>
        </w:rPr>
        <w:t>Louth County</w:t>
      </w:r>
      <w:r w:rsidR="004C0D95" w:rsidRPr="00911FB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725E01">
        <w:rPr>
          <w:rFonts w:ascii="Calibri" w:hAnsi="Calibri" w:cs="Calibri"/>
          <w:sz w:val="20"/>
          <w:szCs w:val="20"/>
          <w:lang w:val="en-US"/>
        </w:rPr>
        <w:t xml:space="preserve">Council </w:t>
      </w:r>
      <w:r w:rsidR="004C0D95" w:rsidRPr="00911FBC">
        <w:rPr>
          <w:rFonts w:ascii="Calibri" w:hAnsi="Calibri" w:cs="Calibri"/>
          <w:sz w:val="20"/>
          <w:szCs w:val="20"/>
          <w:lang w:val="en-US"/>
        </w:rPr>
        <w:t xml:space="preserve">has prepared a Climate Action Plan for the years 2024 – 2029 </w:t>
      </w:r>
      <w:r w:rsidR="00725E01">
        <w:rPr>
          <w:rFonts w:ascii="Calibri" w:hAnsi="Calibri" w:cs="Calibri"/>
          <w:sz w:val="20"/>
          <w:szCs w:val="20"/>
          <w:lang w:val="en-US"/>
        </w:rPr>
        <w:t>in accordance with</w:t>
      </w:r>
      <w:r w:rsidR="004C0D95" w:rsidRPr="00911FBC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4C0D95" w:rsidRPr="00911FBC">
        <w:rPr>
          <w:rFonts w:ascii="Calibri" w:hAnsi="Calibri" w:cs="Calibri"/>
          <w:sz w:val="20"/>
          <w:szCs w:val="20"/>
        </w:rPr>
        <w:t xml:space="preserve">Section 16 of the Climate Action and Low Carbon Development (Amendment) Act 2021. </w:t>
      </w:r>
    </w:p>
    <w:p w14:paraId="53C5CDA0" w14:textId="3B0F909A" w:rsidR="004C0D95" w:rsidRPr="00911FBC" w:rsidRDefault="004C0D95" w:rsidP="004C0D95">
      <w:pPr>
        <w:jc w:val="both"/>
        <w:rPr>
          <w:rFonts w:ascii="Calibri" w:hAnsi="Calibri" w:cs="Calibri"/>
          <w:sz w:val="20"/>
          <w:szCs w:val="20"/>
        </w:rPr>
      </w:pPr>
      <w:r w:rsidRPr="5F7A9C87">
        <w:rPr>
          <w:rFonts w:ascii="Calibri" w:hAnsi="Calibri" w:cs="Calibri"/>
          <w:sz w:val="20"/>
          <w:szCs w:val="20"/>
        </w:rPr>
        <w:t xml:space="preserve">The </w:t>
      </w:r>
      <w:r w:rsidR="00725E01">
        <w:rPr>
          <w:rFonts w:ascii="Calibri" w:hAnsi="Calibri" w:cs="Calibri"/>
          <w:sz w:val="20"/>
          <w:szCs w:val="20"/>
        </w:rPr>
        <w:t>Louth County Council Climate Action Plan 2024-2029</w:t>
      </w:r>
      <w:r w:rsidRPr="5F7A9C87">
        <w:rPr>
          <w:rFonts w:ascii="Calibri" w:hAnsi="Calibri" w:cs="Calibri"/>
          <w:sz w:val="20"/>
          <w:szCs w:val="20"/>
        </w:rPr>
        <w:t xml:space="preserve"> was subject to Strategic Environmental Assessment (SEA) under SEA Directive 2001/42/EC as transposed into Irish law under the European Communities (Environmental Assessment of Certain Plans and Programmes) Regulations 2004 (S.I. 435/2004), as amended; and Appropriate Assessment (AA) </w:t>
      </w:r>
      <w:r w:rsidR="0D7840F4" w:rsidRPr="5F7A9C87">
        <w:rPr>
          <w:rFonts w:ascii="Calibri" w:hAnsi="Calibri" w:cs="Calibri"/>
          <w:sz w:val="20"/>
          <w:szCs w:val="20"/>
        </w:rPr>
        <w:t xml:space="preserve">under </w:t>
      </w:r>
      <w:r w:rsidRPr="5F7A9C87">
        <w:rPr>
          <w:rFonts w:ascii="Calibri" w:hAnsi="Calibri" w:cs="Calibri"/>
          <w:sz w:val="20"/>
          <w:szCs w:val="20"/>
        </w:rPr>
        <w:t>the EU’s Habitats Directive 92/43/EEC, as transposed into Irish law under Regulation 42(1) of the European Communities (Birds and Natural Habitats) Regulations 2011 (S.I. No. 477/2011), as amended.</w:t>
      </w:r>
    </w:p>
    <w:p w14:paraId="72BE66AB" w14:textId="5B31202C" w:rsidR="005428BA" w:rsidRPr="00911FBC" w:rsidRDefault="005428BA" w:rsidP="004C0D95">
      <w:pPr>
        <w:jc w:val="both"/>
        <w:rPr>
          <w:rFonts w:ascii="Calibri" w:hAnsi="Calibri" w:cs="Calibri"/>
          <w:sz w:val="20"/>
          <w:szCs w:val="20"/>
        </w:rPr>
      </w:pPr>
      <w:r w:rsidRPr="00911FBC">
        <w:rPr>
          <w:rFonts w:ascii="Calibri" w:hAnsi="Calibri" w:cs="Calibri"/>
          <w:sz w:val="20"/>
          <w:szCs w:val="20"/>
        </w:rPr>
        <w:t xml:space="preserve">A copy of the </w:t>
      </w:r>
      <w:r w:rsidR="00725E01">
        <w:rPr>
          <w:rFonts w:ascii="Calibri" w:hAnsi="Calibri" w:cs="Calibri"/>
          <w:sz w:val="20"/>
          <w:szCs w:val="20"/>
        </w:rPr>
        <w:t>plan</w:t>
      </w:r>
      <w:r w:rsidRPr="00911FBC">
        <w:rPr>
          <w:rFonts w:ascii="Calibri" w:hAnsi="Calibri" w:cs="Calibri"/>
          <w:sz w:val="20"/>
          <w:szCs w:val="20"/>
        </w:rPr>
        <w:t xml:space="preserve"> and associated environmental reports are available for public inspection at the offices of the competent authority during office hours and on the website of the authority or at:</w:t>
      </w:r>
    </w:p>
    <w:p w14:paraId="1F3A0A59" w14:textId="14230715" w:rsidR="0008244D" w:rsidRDefault="0008244D" w:rsidP="00911FB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8244D">
        <w:rPr>
          <w:rFonts w:ascii="Calibri" w:hAnsi="Calibri" w:cs="Calibri"/>
          <w:sz w:val="20"/>
          <w:szCs w:val="20"/>
        </w:rPr>
        <w:t>County Hall, Millennium Centre, St. Alphonsus Road, Dundalk, Co. Louth A91 KFW6 Monday to Friday (excluding Bank Holidays) between the hours of 9:00am to 5:00pm</w:t>
      </w:r>
    </w:p>
    <w:p w14:paraId="7CAE5B3B" w14:textId="2DEB746E" w:rsidR="00FE75A0" w:rsidRDefault="0008244D" w:rsidP="00911FB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08244D">
        <w:rPr>
          <w:rFonts w:ascii="Calibri" w:hAnsi="Calibri" w:cs="Calibri"/>
          <w:sz w:val="20"/>
          <w:szCs w:val="20"/>
        </w:rPr>
        <w:t>Drogheda Civic Offices, Fair Street, Drogheda, Co. Louth A92 P440 Monday to Friday (excluding Bank Holidays) between the hours of 9:00am to 5:00pm</w:t>
      </w:r>
    </w:p>
    <w:p w14:paraId="320EB3BD" w14:textId="3CDE5D41" w:rsidR="005428BA" w:rsidRPr="0008244D" w:rsidRDefault="0008244D" w:rsidP="0008244D">
      <w:pPr>
        <w:pStyle w:val="ListParagraph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08244D">
        <w:rPr>
          <w:rFonts w:ascii="Calibri" w:hAnsi="Calibri" w:cs="Calibri"/>
          <w:sz w:val="20"/>
          <w:szCs w:val="20"/>
        </w:rPr>
        <w:t>Mid Louth Civic Offices, Fair Green, Ardee, Co. Louth A92 RYT2 Monday to Friday (excluding Bank Holidays) between the hours of 9:00am to 5:00pm</w:t>
      </w:r>
      <w:r w:rsidR="00FE75A0" w:rsidRPr="0008244D">
        <w:rPr>
          <w:rFonts w:ascii="Calibri" w:hAnsi="Calibri" w:cs="Calibri"/>
          <w:sz w:val="20"/>
          <w:szCs w:val="20"/>
        </w:rPr>
        <w:t xml:space="preserve">  </w:t>
      </w:r>
    </w:p>
    <w:p w14:paraId="738B7BE7" w14:textId="4D6D1393" w:rsidR="005428BA" w:rsidRPr="00911FBC" w:rsidRDefault="0008244D" w:rsidP="004C0D9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Between Monday the 18</w:t>
      </w:r>
      <w:r w:rsidRPr="0008244D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of March and Friday the 19</w:t>
      </w:r>
      <w:r w:rsidRPr="0008244D">
        <w:rPr>
          <w:rFonts w:ascii="Calibri" w:hAnsi="Calibri" w:cs="Calibri"/>
          <w:sz w:val="20"/>
          <w:szCs w:val="20"/>
          <w:vertAlign w:val="superscript"/>
        </w:rPr>
        <w:t>th</w:t>
      </w:r>
      <w:r>
        <w:rPr>
          <w:rFonts w:ascii="Calibri" w:hAnsi="Calibri" w:cs="Calibri"/>
          <w:sz w:val="20"/>
          <w:szCs w:val="20"/>
        </w:rPr>
        <w:t xml:space="preserve"> of April. </w:t>
      </w:r>
    </w:p>
    <w:p w14:paraId="1400A1A4" w14:textId="104B7120" w:rsidR="005428BA" w:rsidRPr="00911FBC" w:rsidRDefault="004C0D95" w:rsidP="004C0D95">
      <w:pPr>
        <w:jc w:val="both"/>
        <w:rPr>
          <w:rFonts w:ascii="Calibri" w:hAnsi="Calibri" w:cs="Calibri"/>
          <w:sz w:val="20"/>
          <w:szCs w:val="20"/>
        </w:rPr>
      </w:pPr>
      <w:r w:rsidRPr="00911FBC">
        <w:rPr>
          <w:rFonts w:ascii="Calibri" w:hAnsi="Calibri" w:cs="Calibri"/>
          <w:sz w:val="20"/>
          <w:szCs w:val="20"/>
        </w:rPr>
        <w:t>A S</w:t>
      </w:r>
      <w:r w:rsidR="00911FBC">
        <w:rPr>
          <w:rFonts w:ascii="Calibri" w:hAnsi="Calibri" w:cs="Calibri"/>
          <w:sz w:val="20"/>
          <w:szCs w:val="20"/>
        </w:rPr>
        <w:t xml:space="preserve">EA </w:t>
      </w:r>
      <w:r w:rsidRPr="00911FBC">
        <w:rPr>
          <w:rFonts w:ascii="Calibri" w:hAnsi="Calibri" w:cs="Calibri"/>
          <w:sz w:val="20"/>
          <w:szCs w:val="20"/>
        </w:rPr>
        <w:t>Statement is also available for inspection which summarises:</w:t>
      </w:r>
    </w:p>
    <w:p w14:paraId="172716EA" w14:textId="32928419" w:rsidR="005428BA" w:rsidRPr="00911FBC" w:rsidRDefault="005428BA" w:rsidP="005428B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12E7CF08">
        <w:rPr>
          <w:rFonts w:ascii="Calibri" w:hAnsi="Calibri" w:cs="Calibri"/>
          <w:sz w:val="20"/>
          <w:szCs w:val="20"/>
        </w:rPr>
        <w:t xml:space="preserve">how environmental considerations have been integrated into the </w:t>
      </w:r>
      <w:proofErr w:type="gramStart"/>
      <w:r w:rsidRPr="12E7CF08">
        <w:rPr>
          <w:rFonts w:ascii="Calibri" w:hAnsi="Calibri" w:cs="Calibri"/>
          <w:sz w:val="20"/>
          <w:szCs w:val="20"/>
        </w:rPr>
        <w:t>plan</w:t>
      </w:r>
      <w:proofErr w:type="gramEnd"/>
    </w:p>
    <w:p w14:paraId="51844AB5" w14:textId="312AF878" w:rsidR="005428BA" w:rsidRPr="00911FBC" w:rsidRDefault="005428BA" w:rsidP="005428B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proofErr w:type="gramStart"/>
      <w:r w:rsidRPr="00911FBC">
        <w:rPr>
          <w:rFonts w:ascii="Calibri" w:hAnsi="Calibri" w:cs="Calibri"/>
          <w:sz w:val="20"/>
          <w:szCs w:val="20"/>
        </w:rPr>
        <w:t>how</w:t>
      </w:r>
      <w:proofErr w:type="gramEnd"/>
    </w:p>
    <w:p w14:paraId="713766A0" w14:textId="65294F6E" w:rsidR="005428BA" w:rsidRPr="00911FBC" w:rsidRDefault="005428BA" w:rsidP="005428B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911FBC">
        <w:rPr>
          <w:rFonts w:ascii="Calibri" w:hAnsi="Calibri" w:cs="Calibri"/>
          <w:sz w:val="20"/>
          <w:szCs w:val="20"/>
        </w:rPr>
        <w:t xml:space="preserve">the environmental report prepared pursuant to article 12, </w:t>
      </w:r>
    </w:p>
    <w:p w14:paraId="0EEF32A5" w14:textId="26E05E73" w:rsidR="005428BA" w:rsidRPr="00911FBC" w:rsidRDefault="005428BA" w:rsidP="005428B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911FBC">
        <w:rPr>
          <w:rFonts w:ascii="Calibri" w:hAnsi="Calibri" w:cs="Calibri"/>
          <w:sz w:val="20"/>
          <w:szCs w:val="20"/>
        </w:rPr>
        <w:t>submissions and observations made to the competent authority in response to a notice under article 13, and</w:t>
      </w:r>
    </w:p>
    <w:p w14:paraId="22364BE1" w14:textId="0D910165" w:rsidR="005428BA" w:rsidRPr="00911FBC" w:rsidRDefault="005428BA" w:rsidP="005428BA">
      <w:pPr>
        <w:pStyle w:val="ListParagraph"/>
        <w:numPr>
          <w:ilvl w:val="1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911FBC">
        <w:rPr>
          <w:rFonts w:ascii="Calibri" w:hAnsi="Calibri" w:cs="Calibri"/>
          <w:sz w:val="20"/>
          <w:szCs w:val="20"/>
        </w:rPr>
        <w:t>any consultations under article 14,</w:t>
      </w:r>
    </w:p>
    <w:p w14:paraId="67BB7490" w14:textId="1121A379" w:rsidR="005428BA" w:rsidRPr="00911FBC" w:rsidRDefault="005428BA" w:rsidP="005428BA">
      <w:pPr>
        <w:ind w:left="720"/>
        <w:jc w:val="both"/>
        <w:rPr>
          <w:rFonts w:ascii="Calibri" w:hAnsi="Calibri" w:cs="Calibri"/>
          <w:sz w:val="20"/>
          <w:szCs w:val="20"/>
        </w:rPr>
      </w:pPr>
      <w:r w:rsidRPr="12E7CF08">
        <w:rPr>
          <w:rFonts w:ascii="Calibri" w:hAnsi="Calibri" w:cs="Calibri"/>
          <w:sz w:val="20"/>
          <w:szCs w:val="20"/>
        </w:rPr>
        <w:t xml:space="preserve">have been </w:t>
      </w:r>
      <w:proofErr w:type="gramStart"/>
      <w:r w:rsidRPr="12E7CF08">
        <w:rPr>
          <w:rFonts w:ascii="Calibri" w:hAnsi="Calibri" w:cs="Calibri"/>
          <w:sz w:val="20"/>
          <w:szCs w:val="20"/>
        </w:rPr>
        <w:t>taken into account</w:t>
      </w:r>
      <w:proofErr w:type="gramEnd"/>
      <w:r w:rsidRPr="12E7CF08">
        <w:rPr>
          <w:rFonts w:ascii="Calibri" w:hAnsi="Calibri" w:cs="Calibri"/>
          <w:sz w:val="20"/>
          <w:szCs w:val="20"/>
        </w:rPr>
        <w:t xml:space="preserve"> during the preparation of the plan</w:t>
      </w:r>
      <w:r w:rsidR="1F5878F5" w:rsidRPr="12E7CF08">
        <w:rPr>
          <w:rFonts w:ascii="Calibri" w:hAnsi="Calibri" w:cs="Calibri"/>
          <w:sz w:val="20"/>
          <w:szCs w:val="20"/>
        </w:rPr>
        <w:t>.</w:t>
      </w:r>
    </w:p>
    <w:p w14:paraId="7AD0D940" w14:textId="5D05A79E" w:rsidR="005428BA" w:rsidRPr="00911FBC" w:rsidRDefault="005428BA" w:rsidP="005428B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12E7CF08">
        <w:rPr>
          <w:rFonts w:ascii="Calibri" w:hAnsi="Calibri" w:cs="Calibri"/>
          <w:sz w:val="20"/>
          <w:szCs w:val="20"/>
        </w:rPr>
        <w:t>the reasons for choosing the plan</w:t>
      </w:r>
      <w:r w:rsidR="2E32365B" w:rsidRPr="12E7CF08">
        <w:rPr>
          <w:rFonts w:ascii="Calibri" w:hAnsi="Calibri" w:cs="Calibri"/>
          <w:sz w:val="20"/>
          <w:szCs w:val="20"/>
        </w:rPr>
        <w:t xml:space="preserve">, </w:t>
      </w:r>
      <w:r w:rsidRPr="12E7CF08">
        <w:rPr>
          <w:rFonts w:ascii="Calibri" w:hAnsi="Calibri" w:cs="Calibri"/>
          <w:sz w:val="20"/>
          <w:szCs w:val="20"/>
        </w:rPr>
        <w:t>in the light of the other reasonable alternatives dealt with, and</w:t>
      </w:r>
    </w:p>
    <w:p w14:paraId="23F16C53" w14:textId="1A26EF07" w:rsidR="005428BA" w:rsidRPr="00911FBC" w:rsidRDefault="005428BA" w:rsidP="005428B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12E7CF08">
        <w:rPr>
          <w:rFonts w:ascii="Calibri" w:hAnsi="Calibri" w:cs="Calibri"/>
          <w:sz w:val="20"/>
          <w:szCs w:val="20"/>
        </w:rPr>
        <w:t>the measures decided upon to monitor, in accordance with article 17, the significant environmental effects of implementation of the plan</w:t>
      </w:r>
      <w:r w:rsidR="60F8B557" w:rsidRPr="12E7CF08">
        <w:rPr>
          <w:rFonts w:ascii="Calibri" w:hAnsi="Calibri" w:cs="Calibri"/>
          <w:sz w:val="20"/>
          <w:szCs w:val="20"/>
        </w:rPr>
        <w:t>.</w:t>
      </w:r>
    </w:p>
    <w:bookmarkEnd w:id="0"/>
    <w:p w14:paraId="5EDCB2D7" w14:textId="62ACA920" w:rsidR="004C0D95" w:rsidRPr="00911FBC" w:rsidRDefault="00AA48C7" w:rsidP="004C0D95"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5DD2058F" wp14:editId="125E8D26">
            <wp:simplePos x="0" y="0"/>
            <wp:positionH relativeFrom="column">
              <wp:posOffset>606056</wp:posOffset>
            </wp:positionH>
            <wp:positionV relativeFrom="paragraph">
              <wp:posOffset>172528</wp:posOffset>
            </wp:positionV>
            <wp:extent cx="809776" cy="540000"/>
            <wp:effectExtent l="0" t="0" r="0" b="0"/>
            <wp:wrapNone/>
            <wp:docPr id="1192334411" name="Picture 1" descr="A signature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34411" name="Picture 1" descr="A signature of a pers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77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3DF7E" w14:textId="4B0D04AA" w:rsidR="0008244D" w:rsidRDefault="0008244D" w:rsidP="0008244D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</w:pPr>
      <w:r w:rsidRPr="6D0C5CDD"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  <w:t>Signed by:</w:t>
      </w:r>
    </w:p>
    <w:p w14:paraId="2AB23D78" w14:textId="221B046B" w:rsidR="00AA48C7" w:rsidRDefault="00AA48C7" w:rsidP="0008244D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  <w:tab/>
        <w:t>David Hanratty - Acting Director of Service</w:t>
      </w:r>
    </w:p>
    <w:p w14:paraId="5FC1B95E" w14:textId="191694FE" w:rsidR="0008244D" w:rsidRDefault="0008244D" w:rsidP="0008244D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6D0C5CDD"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  <w:t>Date:</w:t>
      </w:r>
      <w:r w:rsidR="00AA48C7"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  <w:t xml:space="preserve"> 07/03/2024</w:t>
      </w:r>
    </w:p>
    <w:p w14:paraId="5471B940" w14:textId="72E9A68F" w:rsidR="00FC6DFD" w:rsidRPr="00911FBC" w:rsidRDefault="00FC6DFD">
      <w:pPr>
        <w:rPr>
          <w:sz w:val="20"/>
          <w:szCs w:val="20"/>
          <w:lang w:val="en-US"/>
        </w:rPr>
      </w:pPr>
    </w:p>
    <w:sectPr w:rsidR="00FC6DFD" w:rsidRPr="00911F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132"/>
    <w:multiLevelType w:val="hybridMultilevel"/>
    <w:tmpl w:val="CE38F140"/>
    <w:lvl w:ilvl="0" w:tplc="1809001B">
      <w:start w:val="1"/>
      <w:numFmt w:val="lowerRoman"/>
      <w:lvlText w:val="%1."/>
      <w:lvlJc w:val="righ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D3DF5"/>
    <w:multiLevelType w:val="hybridMultilevel"/>
    <w:tmpl w:val="305EEC4C"/>
    <w:lvl w:ilvl="0" w:tplc="A51A4C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EB8E3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E45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0222B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6B25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0EA0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07A8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868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F6E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3DF2285"/>
    <w:multiLevelType w:val="hybridMultilevel"/>
    <w:tmpl w:val="F2380A1C"/>
    <w:lvl w:ilvl="0" w:tplc="24704A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5E4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4E85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7CD3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9296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1C8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C9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2987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C8CC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43AF6220"/>
    <w:multiLevelType w:val="hybridMultilevel"/>
    <w:tmpl w:val="68EEF124"/>
    <w:lvl w:ilvl="0" w:tplc="7D4652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0EB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704FC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2663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F68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C489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E65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B60A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4D621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76957C89"/>
    <w:multiLevelType w:val="hybridMultilevel"/>
    <w:tmpl w:val="AB54251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8229E"/>
    <w:multiLevelType w:val="hybridMultilevel"/>
    <w:tmpl w:val="9FD8CD26"/>
    <w:lvl w:ilvl="0" w:tplc="A6708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CA0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6E86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840A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BE93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16BC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346D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50B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40C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050563276">
    <w:abstractNumId w:val="0"/>
  </w:num>
  <w:num w:numId="2" w16cid:durableId="869875471">
    <w:abstractNumId w:val="4"/>
  </w:num>
  <w:num w:numId="3" w16cid:durableId="1334721356">
    <w:abstractNumId w:val="2"/>
  </w:num>
  <w:num w:numId="4" w16cid:durableId="218983548">
    <w:abstractNumId w:val="3"/>
  </w:num>
  <w:num w:numId="5" w16cid:durableId="321157537">
    <w:abstractNumId w:val="1"/>
  </w:num>
  <w:num w:numId="6" w16cid:durableId="871303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FD"/>
    <w:rsid w:val="0000053D"/>
    <w:rsid w:val="00033E9E"/>
    <w:rsid w:val="0008244D"/>
    <w:rsid w:val="00132C0C"/>
    <w:rsid w:val="00192A4C"/>
    <w:rsid w:val="001F7E39"/>
    <w:rsid w:val="00327642"/>
    <w:rsid w:val="004C0D95"/>
    <w:rsid w:val="005428BA"/>
    <w:rsid w:val="00553DD9"/>
    <w:rsid w:val="00630A58"/>
    <w:rsid w:val="006C432F"/>
    <w:rsid w:val="00725E01"/>
    <w:rsid w:val="00883EE9"/>
    <w:rsid w:val="008F729C"/>
    <w:rsid w:val="00911FBC"/>
    <w:rsid w:val="00932AD4"/>
    <w:rsid w:val="00A503A8"/>
    <w:rsid w:val="00AA4819"/>
    <w:rsid w:val="00AA48C7"/>
    <w:rsid w:val="00C151BE"/>
    <w:rsid w:val="00C300E2"/>
    <w:rsid w:val="00D217FB"/>
    <w:rsid w:val="00FC6DFD"/>
    <w:rsid w:val="00FE75A0"/>
    <w:rsid w:val="095A151F"/>
    <w:rsid w:val="0D7840F4"/>
    <w:rsid w:val="12E7CF08"/>
    <w:rsid w:val="1F5878F5"/>
    <w:rsid w:val="2E32365B"/>
    <w:rsid w:val="5F7A9C87"/>
    <w:rsid w:val="60F8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7C5B7"/>
  <w15:chartTrackingRefBased/>
  <w15:docId w15:val="{F043EA35-209B-453E-9656-6F0DFF74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0D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0D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0D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D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D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428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7E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Deeney</dc:creator>
  <cp:keywords/>
  <dc:description/>
  <cp:lastModifiedBy>Fiona Lennon</cp:lastModifiedBy>
  <cp:revision>2</cp:revision>
  <dcterms:created xsi:type="dcterms:W3CDTF">2024-03-19T10:35:00Z</dcterms:created>
  <dcterms:modified xsi:type="dcterms:W3CDTF">2024-03-19T10:35:00Z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200fe4ac37a3eebc22e79a459e63001fe99e33132351ced29f09252f9df9b10c</vt:lpwstr>
  </property>
</Properties>
</file>